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84" w:rsidRPr="00DB18DB" w:rsidRDefault="00CB0B1E" w:rsidP="000A1784">
      <w:pPr>
        <w:pStyle w:val="a3"/>
        <w:spacing w:before="0" w:beforeAutospacing="0" w:after="0" w:afterAutospacing="0" w:line="390" w:lineRule="atLeast"/>
        <w:textAlignment w:val="baseline"/>
        <w:rPr>
          <w:color w:val="000000"/>
        </w:rPr>
      </w:pPr>
      <w:r w:rsidRPr="00CB0B1E">
        <w:rPr>
          <w:rFonts w:ascii="PT Astra Serif" w:hAnsi="PT Astra Serif" w:cs="Helvetica"/>
          <w:color w:val="000000"/>
          <w:sz w:val="28"/>
          <w:szCs w:val="18"/>
        </w:rPr>
        <w:t> </w:t>
      </w:r>
      <w:r w:rsidR="000A1784" w:rsidRPr="00DB18DB">
        <w:rPr>
          <w:b/>
          <w:bCs/>
          <w:color w:val="000000"/>
          <w:bdr w:val="none" w:sz="0" w:space="0" w:color="auto" w:frame="1"/>
        </w:rPr>
        <w:t>Во избежание возникновения пожаров, соблюдайте правила пожарной безопасности!</w:t>
      </w:r>
    </w:p>
    <w:p w:rsidR="000A1784" w:rsidRPr="000A1784" w:rsidRDefault="000A1784" w:rsidP="000A1784">
      <w:pPr>
        <w:spacing w:before="150"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выжить и победить огненную стихию с наименьшими потерями, следует усвоить ряд практических советов:</w:t>
      </w:r>
    </w:p>
    <w:p w:rsidR="000A1784" w:rsidRPr="000A1784" w:rsidRDefault="000A1784" w:rsidP="000A1784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распашные (раскрывающиеся) решетки на оконных проемах.</w:t>
      </w:r>
    </w:p>
    <w:p w:rsidR="000A1784" w:rsidRPr="000A1784" w:rsidRDefault="000A1784" w:rsidP="000A1784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держать свободный доступ к люкам на балконах, не заменять на переходных балконах и лоджиях легкие перегородки между секциями на капитальные, не убирать установленные на балконах межэтажные лестницы (путь эвакуации при пожаре).</w:t>
      </w:r>
    </w:p>
    <w:p w:rsidR="000A1784" w:rsidRPr="000A1784" w:rsidRDefault="000A1784" w:rsidP="000A1784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устраивать в </w:t>
      </w:r>
      <w:proofErr w:type="gramStart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вестибюлях</w:t>
      </w:r>
      <w:proofErr w:type="gramEnd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лестничных клеток и на самых лестничных клетках кладовые.</w:t>
      </w:r>
    </w:p>
    <w:p w:rsidR="000A1784" w:rsidRPr="000A1784" w:rsidRDefault="000A1784" w:rsidP="000A1784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хранить горючие жидкости, мусор, старую мебель и другие горючие предметы в коридорах, холлах, на лестничных клетках.</w:t>
      </w:r>
    </w:p>
    <w:p w:rsidR="000A1784" w:rsidRPr="000A1784" w:rsidRDefault="000A1784" w:rsidP="000A1784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хранить в кладовых и на балконах горючие вещества и материалы.</w:t>
      </w:r>
    </w:p>
    <w:p w:rsidR="000A1784" w:rsidRPr="000A1784" w:rsidRDefault="000A1784" w:rsidP="000A1784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изменять направление открывания входных дверей в свою квартиру, если это препятствует свободной эвакуации людей из соседних квартир.</w:t>
      </w:r>
    </w:p>
    <w:p w:rsidR="000A1784" w:rsidRPr="000A1784" w:rsidRDefault="000A1784" w:rsidP="000A1784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устанавливать в </w:t>
      </w:r>
      <w:proofErr w:type="gramStart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холлах</w:t>
      </w:r>
      <w:proofErr w:type="gramEnd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перегородки, двери на путях эвакуации при пожаре.</w:t>
      </w:r>
    </w:p>
    <w:p w:rsidR="000A1784" w:rsidRPr="000A1784" w:rsidRDefault="000A1784" w:rsidP="000A1784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Препятствовать сбору в </w:t>
      </w:r>
      <w:proofErr w:type="gramStart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подъездах</w:t>
      </w:r>
      <w:proofErr w:type="gramEnd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молодежных компаний, лиц без определенного места жительства, создающих угрозу в возникновении пожара.</w:t>
      </w:r>
    </w:p>
    <w:p w:rsidR="000A1784" w:rsidRPr="000A1784" w:rsidRDefault="000A1784" w:rsidP="000A1784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бросать не погашенные спички и окурки в ствол мусоропроводов.</w:t>
      </w:r>
    </w:p>
    <w:p w:rsidR="000A1784" w:rsidRPr="000A1784" w:rsidRDefault="000A1784" w:rsidP="000A1784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бросать не погашенные спички и окурки из окон и балконов из-за возможности попадания их на </w:t>
      </w:r>
      <w:proofErr w:type="gramStart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расположенные</w:t>
      </w:r>
      <w:proofErr w:type="gramEnd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балконы и в окна.</w:t>
      </w:r>
    </w:p>
    <w:p w:rsidR="000A1784" w:rsidRPr="000A1784" w:rsidRDefault="000A1784" w:rsidP="000A1784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загромождать личными автомобилями придомовую </w:t>
      </w:r>
      <w:proofErr w:type="gramStart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</w:t>
      </w:r>
      <w:proofErr w:type="gramEnd"/>
      <w:r w:rsidRPr="000A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это препятствует подъезду пожарных машин во время пожара.</w:t>
      </w:r>
    </w:p>
    <w:p w:rsidR="006D059B" w:rsidRPr="00DB18DB" w:rsidRDefault="00DB18DB" w:rsidP="000A1784">
      <w:pPr>
        <w:shd w:val="clear" w:color="auto" w:fill="FFFFFF"/>
        <w:spacing w:before="150" w:after="225" w:line="240" w:lineRule="auto"/>
        <w:rPr>
          <w:rFonts w:ascii="PT Astra Serif" w:hAnsi="PT Astra Serif"/>
        </w:rPr>
      </w:pPr>
      <w:r w:rsidRPr="00DB18DB">
        <w:rPr>
          <w:rFonts w:ascii="PT Astra Serif" w:hAnsi="PT Astra Serif"/>
        </w:rPr>
        <w:t xml:space="preserve">*для размещения в </w:t>
      </w:r>
      <w:proofErr w:type="gramStart"/>
      <w:r w:rsidRPr="00DB18DB">
        <w:rPr>
          <w:rFonts w:ascii="PT Astra Serif" w:hAnsi="PT Astra Serif"/>
        </w:rPr>
        <w:t>квитанциях</w:t>
      </w:r>
      <w:proofErr w:type="gramEnd"/>
    </w:p>
    <w:p w:rsidR="000A1784" w:rsidRDefault="000A1784" w:rsidP="000A1784">
      <w:pPr>
        <w:shd w:val="clear" w:color="auto" w:fill="FFFFFF"/>
        <w:spacing w:before="150" w:after="225" w:line="240" w:lineRule="auto"/>
        <w:rPr>
          <w:rFonts w:ascii="PT Astra Serif" w:hAnsi="PT Astra Serif"/>
          <w:sz w:val="36"/>
        </w:rPr>
      </w:pPr>
    </w:p>
    <w:p w:rsidR="000A1784" w:rsidRDefault="000A1784" w:rsidP="000A1784">
      <w:pPr>
        <w:shd w:val="clear" w:color="auto" w:fill="FFFFFF"/>
        <w:spacing w:before="150" w:after="225" w:line="240" w:lineRule="auto"/>
        <w:rPr>
          <w:rFonts w:ascii="PT Astra Serif" w:hAnsi="PT Astra Serif"/>
          <w:sz w:val="36"/>
        </w:rPr>
      </w:pPr>
    </w:p>
    <w:p w:rsidR="000A1784" w:rsidRDefault="000A1784" w:rsidP="000A1784">
      <w:pPr>
        <w:shd w:val="clear" w:color="auto" w:fill="FFFFFF"/>
        <w:spacing w:before="150" w:after="225" w:line="240" w:lineRule="auto"/>
        <w:rPr>
          <w:rFonts w:ascii="PT Astra Serif" w:hAnsi="PT Astra Serif"/>
          <w:sz w:val="36"/>
        </w:rPr>
      </w:pPr>
    </w:p>
    <w:p w:rsidR="000A1784" w:rsidRDefault="000A1784" w:rsidP="000A1784">
      <w:pPr>
        <w:shd w:val="clear" w:color="auto" w:fill="FFFFFF"/>
        <w:spacing w:before="150" w:after="225" w:line="240" w:lineRule="auto"/>
        <w:rPr>
          <w:rFonts w:ascii="PT Astra Serif" w:hAnsi="PT Astra Serif"/>
          <w:sz w:val="36"/>
        </w:rPr>
      </w:pPr>
    </w:p>
    <w:p w:rsidR="000A1784" w:rsidRDefault="000A1784" w:rsidP="000A1784">
      <w:pPr>
        <w:shd w:val="clear" w:color="auto" w:fill="FFFFFF"/>
        <w:spacing w:before="150" w:after="225" w:line="240" w:lineRule="auto"/>
        <w:rPr>
          <w:rFonts w:ascii="PT Astra Serif" w:hAnsi="PT Astra Serif"/>
          <w:sz w:val="36"/>
        </w:rPr>
      </w:pPr>
    </w:p>
    <w:p w:rsidR="00DB18DB" w:rsidRDefault="00DB18DB" w:rsidP="000A1784">
      <w:pPr>
        <w:shd w:val="clear" w:color="auto" w:fill="FFFFFF"/>
        <w:spacing w:before="150" w:after="225" w:line="240" w:lineRule="auto"/>
        <w:rPr>
          <w:rFonts w:ascii="PT Astra Serif" w:hAnsi="PT Astra Serif"/>
          <w:sz w:val="36"/>
        </w:rPr>
      </w:pPr>
      <w:bookmarkStart w:id="0" w:name="_GoBack"/>
      <w:bookmarkEnd w:id="0"/>
    </w:p>
    <w:p w:rsidR="000A1784" w:rsidRDefault="000A1784" w:rsidP="000A1784">
      <w:pPr>
        <w:shd w:val="clear" w:color="auto" w:fill="FFFFFF"/>
        <w:spacing w:before="150" w:after="225" w:line="240" w:lineRule="auto"/>
        <w:rPr>
          <w:rFonts w:ascii="PT Astra Serif" w:hAnsi="PT Astra Serif"/>
          <w:sz w:val="36"/>
        </w:rPr>
      </w:pPr>
    </w:p>
    <w:p w:rsidR="000A1784" w:rsidRDefault="000A1784" w:rsidP="000A1784">
      <w:pPr>
        <w:shd w:val="clear" w:color="auto" w:fill="FFFFFF"/>
        <w:spacing w:before="150" w:after="225" w:line="240" w:lineRule="auto"/>
        <w:rPr>
          <w:rFonts w:ascii="PT Astra Serif" w:hAnsi="PT Astra Serif"/>
          <w:sz w:val="36"/>
        </w:rPr>
      </w:pPr>
    </w:p>
    <w:p w:rsidR="000A1784" w:rsidRDefault="000A1784" w:rsidP="000A1784">
      <w:pPr>
        <w:shd w:val="clear" w:color="auto" w:fill="FFFFFF"/>
        <w:spacing w:before="150" w:after="225" w:line="240" w:lineRule="auto"/>
        <w:rPr>
          <w:rFonts w:ascii="PT Astra Serif" w:hAnsi="PT Astra Serif"/>
          <w:sz w:val="36"/>
        </w:rPr>
      </w:pPr>
    </w:p>
    <w:p w:rsidR="000A1784" w:rsidRPr="00CB0B1E" w:rsidRDefault="000A1784" w:rsidP="000A1784">
      <w:pPr>
        <w:shd w:val="clear" w:color="auto" w:fill="FFFFFF"/>
        <w:spacing w:before="150" w:after="225" w:line="240" w:lineRule="auto"/>
        <w:rPr>
          <w:rFonts w:ascii="PT Astra Serif" w:hAnsi="PT Astra Serif"/>
          <w:sz w:val="36"/>
        </w:rPr>
      </w:pPr>
      <w:r>
        <w:rPr>
          <w:rFonts w:ascii="PT Astra Serif" w:hAnsi="PT Astra Serif"/>
          <w:noProof/>
          <w:sz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78AA2F3" wp14:editId="5C9A13BD">
            <wp:simplePos x="0" y="0"/>
            <wp:positionH relativeFrom="column">
              <wp:posOffset>-960755</wp:posOffset>
            </wp:positionH>
            <wp:positionV relativeFrom="paragraph">
              <wp:posOffset>-588777</wp:posOffset>
            </wp:positionV>
            <wp:extent cx="7303697" cy="10414660"/>
            <wp:effectExtent l="0" t="0" r="0" b="5715"/>
            <wp:wrapNone/>
            <wp:docPr id="1" name="Рисунок 1" descr="C:\Users\Abrosimov_AA\Downloads\photo17194735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osimov_AA\Downloads\photo171947350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697" cy="104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1784" w:rsidRPr="00CB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758"/>
    <w:multiLevelType w:val="multilevel"/>
    <w:tmpl w:val="3340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F289E"/>
    <w:multiLevelType w:val="multilevel"/>
    <w:tmpl w:val="C48A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1E"/>
    <w:rsid w:val="000A1784"/>
    <w:rsid w:val="006D059B"/>
    <w:rsid w:val="00CB0B1E"/>
    <w:rsid w:val="00D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7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7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Андрей Анатольевич</dc:creator>
  <cp:lastModifiedBy>Абросимов Андрей Анатольевич</cp:lastModifiedBy>
  <cp:revision>1</cp:revision>
  <dcterms:created xsi:type="dcterms:W3CDTF">2024-06-27T06:44:00Z</dcterms:created>
  <dcterms:modified xsi:type="dcterms:W3CDTF">2024-06-27T07:39:00Z</dcterms:modified>
</cp:coreProperties>
</file>